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rPr>
          <w:rFonts w:cs="Humanst521EU"/>
          <w:b/>
          <w:b/>
          <w:bCs/>
          <w:color w:val="000000"/>
          <w:szCs w:val="28"/>
          <w:lang w:val="pl-PL"/>
        </w:rPr>
      </w:pPr>
      <w:bookmarkStart w:id="0" w:name="_GoBack"/>
      <w:bookmarkEnd w:id="0"/>
      <w:r>
        <w:rPr>
          <w:rFonts w:cs="Humanst521EU"/>
          <w:b/>
          <w:bCs/>
          <w:color w:val="000000"/>
          <w:szCs w:val="28"/>
          <w:lang w:val="pl-PL"/>
        </w:rPr>
        <w:t xml:space="preserve">Wymagania edukacyjne z biologii dla klasy 6 szkoły podstawowej </w:t>
      </w:r>
    </w:p>
    <w:p>
      <w:pPr>
        <w:pStyle w:val="Normal"/>
        <w:spacing w:before="0" w:after="0"/>
        <w:contextualSpacing/>
        <w:rPr>
          <w:rFonts w:cs="Humanst521EU"/>
          <w:b/>
          <w:b/>
          <w:bCs/>
          <w:color w:val="000000"/>
          <w:szCs w:val="28"/>
          <w:lang w:val="pl-PL"/>
        </w:rPr>
      </w:pPr>
      <w:r>
        <w:rPr>
          <w:rFonts w:cs="Humanst521EU"/>
          <w:b/>
          <w:bCs/>
          <w:color w:val="000000"/>
          <w:szCs w:val="28"/>
          <w:lang w:val="pl-PL"/>
        </w:rPr>
        <w:t xml:space="preserve">oparte na </w:t>
      </w:r>
      <w:r>
        <w:rPr>
          <w:rFonts w:cs="Humanst521EU"/>
          <w:b/>
          <w:bCs/>
          <w:i/>
          <w:iCs/>
          <w:color w:val="000000"/>
          <w:szCs w:val="28"/>
          <w:lang w:val="pl-PL"/>
        </w:rPr>
        <w:t xml:space="preserve">Programie nauczania biologii – Puls życia </w:t>
      </w:r>
      <w:r>
        <w:rPr>
          <w:rFonts w:cs="Humanst521EU"/>
          <w:b/>
          <w:bCs/>
          <w:color w:val="000000"/>
          <w:szCs w:val="28"/>
          <w:lang w:val="pl-PL"/>
        </w:rPr>
        <w:t>autorstwa Anny Zdziennickiej</w:t>
      </w:r>
    </w:p>
    <w:p>
      <w:pPr>
        <w:pStyle w:val="Normal"/>
        <w:spacing w:before="0" w:after="0"/>
        <w:contextualSpacing/>
        <w:rPr>
          <w:rFonts w:cs="Humanst521EU"/>
          <w:b/>
          <w:b/>
          <w:bCs/>
          <w:color w:val="000000"/>
          <w:szCs w:val="28"/>
          <w:lang w:val="pl-PL"/>
        </w:rPr>
      </w:pPr>
      <w:r>
        <w:rPr>
          <w:rFonts w:cs="Humanst521EU"/>
          <w:b/>
          <w:bCs/>
          <w:color w:val="000000"/>
          <w:szCs w:val="28"/>
          <w:lang w:val="pl-PL"/>
        </w:rPr>
      </w:r>
    </w:p>
    <w:tbl>
      <w:tblPr>
        <w:tblStyle w:val="Tabela-Siatka"/>
        <w:tblW w:w="139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696"/>
        <w:gridCol w:w="1843"/>
        <w:gridCol w:w="1984"/>
        <w:gridCol w:w="2127"/>
        <w:gridCol w:w="2126"/>
        <w:gridCol w:w="2092"/>
        <w:gridCol w:w="2125"/>
      </w:tblGrid>
      <w:tr>
        <w:trPr>
          <w:trHeight w:val="156" w:hRule="atLeast"/>
        </w:trPr>
        <w:tc>
          <w:tcPr>
            <w:tcW w:w="1696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Dział</w:t>
            </w:r>
          </w:p>
        </w:tc>
        <w:tc>
          <w:tcPr>
            <w:tcW w:w="1843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Temat</w:t>
            </w:r>
          </w:p>
        </w:tc>
        <w:tc>
          <w:tcPr>
            <w:tcW w:w="10454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Poziom wymagań</w:t>
            </w:r>
          </w:p>
        </w:tc>
      </w:tr>
      <w:tr>
        <w:trPr>
          <w:trHeight w:val="84" w:hRule="atLeast"/>
        </w:trPr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sz w:val="20"/>
                <w:szCs w:val="20"/>
              </w:rPr>
            </w:r>
          </w:p>
        </w:tc>
        <w:tc>
          <w:tcPr>
            <w:tcW w:w="1843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Pa20"/>
              <w:widowControl w:val="false"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C45911" w:themeColor="accent2" w:themeShade="bf"/>
                <w:kern w:val="0"/>
                <w:sz w:val="20"/>
                <w:szCs w:val="20"/>
                <w:lang w:bidi="ar-SA"/>
              </w:rPr>
              <w:t>ocena dopuszczająca</w:t>
            </w:r>
          </w:p>
        </w:tc>
        <w:tc>
          <w:tcPr>
            <w:tcW w:w="212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ocena dostateczna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ocena dobra</w:t>
            </w:r>
          </w:p>
        </w:tc>
        <w:tc>
          <w:tcPr>
            <w:tcW w:w="209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ocena bardzo dobra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center"/>
              <w:rPr>
                <w:rFonts w:cs="Calibri" w:cstheme="minorHAnsi"/>
                <w:b/>
                <w:b/>
                <w:color w:val="C45911" w:themeColor="accent2" w:themeShade="bf"/>
                <w:sz w:val="20"/>
                <w:szCs w:val="20"/>
              </w:rPr>
            </w:pPr>
            <w:r>
              <w:rPr>
                <w:rFonts w:cs="Calibri" w:cstheme="minorHAnsi"/>
                <w:b/>
                <w:color w:val="C45911" w:themeColor="accent2" w:themeShade="bf"/>
                <w:kern w:val="0"/>
                <w:sz w:val="20"/>
                <w:szCs w:val="20"/>
                <w:lang w:bidi="ar-SA"/>
              </w:rPr>
              <w:t>ocena celująca</w:t>
            </w:r>
          </w:p>
        </w:tc>
      </w:tr>
      <w:tr>
        <w:trPr/>
        <w:tc>
          <w:tcPr>
            <w:tcW w:w="1696" w:type="dxa"/>
            <w:vMerge w:val="restart"/>
            <w:tcBorders/>
            <w:textDirection w:val="btLr"/>
          </w:tcPr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numPr>
                <w:ilvl w:val="0"/>
                <w:numId w:val="1"/>
              </w:numPr>
              <w:suppressAutoHyphens w:val="true"/>
              <w:spacing w:before="0" w:after="0"/>
              <w:ind w:left="862" w:right="113" w:hanging="72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Różnorodność  i jedność świata zwierząt</w:t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I. Świat zwierząt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1. W królestwie zwierząt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000000"/>
                <w:kern w:val="0"/>
                <w:sz w:val="20"/>
                <w:szCs w:val="20"/>
                <w:lang w:bidi="ar-SA"/>
              </w:rPr>
              <w:t>Uczeń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>: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wspólne cechy zwierząt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czym różnią się zwierzęta kręgowe od bezkręgowych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000000"/>
                <w:kern w:val="0"/>
                <w:sz w:val="20"/>
                <w:szCs w:val="20"/>
                <w:lang w:bidi="ar-SA"/>
              </w:rPr>
              <w:t>Uczeń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>: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przedstawia poziomy organizacji ciała zwierząt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przykłady zwierząt kręgowych i bezkręgowych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000000"/>
                <w:kern w:val="0"/>
                <w:sz w:val="20"/>
                <w:szCs w:val="20"/>
                <w:lang w:bidi="ar-SA"/>
              </w:rPr>
              <w:t>Uczeń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>: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definiuje pojęcia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kern w:val="0"/>
                <w:sz w:val="20"/>
                <w:szCs w:val="20"/>
                <w:lang w:val="pl-PL" w:bidi="ar-SA"/>
              </w:rPr>
              <w:t>komórka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,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kern w:val="0"/>
                <w:sz w:val="20"/>
                <w:szCs w:val="20"/>
                <w:lang w:val="pl-PL" w:bidi="ar-SA"/>
              </w:rPr>
              <w:t>tkanka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,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kern w:val="0"/>
                <w:sz w:val="20"/>
                <w:szCs w:val="20"/>
                <w:lang w:val="pl-PL" w:bidi="ar-SA"/>
              </w:rPr>
              <w:t>narząd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,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kern w:val="0"/>
                <w:sz w:val="20"/>
                <w:szCs w:val="20"/>
                <w:lang w:val="pl-PL" w:bidi="ar-SA"/>
              </w:rPr>
              <w:t>układ narządów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, </w:t>
            </w:r>
            <w:r>
              <w:rPr>
                <w:rFonts w:cs="Calibri" w:ascii="Calibri" w:hAnsi="Calibri" w:asciiTheme="minorHAnsi" w:cstheme="minorHAnsi" w:hAnsiTheme="minorHAnsi"/>
                <w:i/>
                <w:iCs/>
                <w:kern w:val="0"/>
                <w:sz w:val="20"/>
                <w:szCs w:val="20"/>
                <w:lang w:val="pl-PL" w:bidi="ar-SA"/>
              </w:rPr>
              <w:t>organizm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podręcznika przyporządkowuje podane zwierzę do odpowiedniej grupy systematycznej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000000"/>
                <w:kern w:val="0"/>
                <w:sz w:val="20"/>
                <w:szCs w:val="20"/>
                <w:lang w:bidi="ar-SA"/>
              </w:rPr>
              <w:t>Uczeń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>: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bezkręgowce i kręgowce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pokrycie ciała bezkręgowców i kręgowców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przykłady szkieletów bezkręgowców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i/>
                <w:color w:val="000000"/>
                <w:kern w:val="0"/>
                <w:sz w:val="20"/>
                <w:szCs w:val="20"/>
                <w:lang w:bidi="ar-SA"/>
              </w:rPr>
              <w:t>Uczeń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>: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prezentuje stopniowo komplikującą się budowę ciała zwierząt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opisu przyporządkowuje zwierzę do odpowiedniej grupy systematycznej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2. Tkanki: nabłonkowa, mięśniowa i nerwowa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czym jest tkanka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podstawowe rodzaje tkanek zwierzęcych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 pomocy nauczyciela przeprowadza obserwację mikroskopową tkanek zwierzęcych i rysuje obrazy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najważniejsze funkcje wskazanej tkanki zwierzęcej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budowę wskazanej tkanki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 niewielkiej pomocy nauczyciela przeprowadza obserwację mikroskopową tkanek zwierzęcych i rysuje obrazy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określa miejsca występowania w organizmie omawianych tkanek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 i przy pomocy nauczyciela rysuje obrazy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budowę poszczególnych tkanek zwierzęcych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rodzaje tkanek zwierzęcych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budowę i sposób funkcjonowania tkanki mięśniowej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 i rysuje obrazy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ilustracji analizuje budowę tkanek zwierzęcych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budową tkanek zwierzęcych a pełnionymi przez nie funkcjami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wykonuje z dowolnego materiału model wybranej tkanki zwierzęcej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3. Tkanka łączna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rodzaje tkanki łącznej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składniki krwi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 pomocy nauczyciela przeprowadza obserwację mikroskopową tkanek zwierzęcych i rozpoznaje elementy tkanki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rozmieszczenie omawianych tkanek w organizmie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składniki krwi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 niewielkiej pomocy nauczyciela przeprowadza obserwację mikroskopową tkanek zwierzęcych i rozpoznaje elementy tkanki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zróżnicowanie w budowie tkanki łącznej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funkcje składników krwi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 i przy niewielkiej pomocy nauczyciela rozpoznaje charakterystyczne elementy obserwowanej tkanki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właściwości i funkcje tkanki kostnej, chrzęstnej i tłuszczowej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rolę poszczególnych składników morfotycznych krwi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 i na podstawie ilustracji rozpoznaje charakterystyczne elementy obserwowanej tkanki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budową elementów krwi a pełnionymi przez nie funkcjami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samodzielnie przeprowadza obserwację mikroskopową tkanek zwierzęcych i na podstawie ilustracji rozpoznaje oraz opisuje elementy tkanki widziane pod mikroskopem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4. Płazińce – zwierzęta, które mają płaskie ciało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miejsce występowania płazińców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tasiemca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na ilustracji elementy budowy tasiemca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drogi inwazji tasiemca do organizmu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 na podstawie  schematu cyklu rozwojowego tasiemca żywiciela pośredniego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przystosowanie tasiemca do pasożytniczego trybu życia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znaczenie płazińców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 rolę żywiciela pośredniego i ostatecznego w cyklu rozwojowym tasiemca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wskazane czynności życiowe płazińców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sposoby zapobiegania zarażeniu się tasiemcem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możliwości zakażenia się chorobami wywoływanymi przez płazińce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znaczenie płazińców w przyrodzie i dla człowieka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i/>
                <w:color w:val="000000"/>
                <w:kern w:val="0"/>
                <w:sz w:val="20"/>
                <w:szCs w:val="20"/>
                <w:lang w:bidi="ar-SA"/>
              </w:rPr>
              <w:t>5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. Nicienie – zwierzęta, które mają nitkowate ciało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środowisko życia nicieni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nicienie wśród innych zwierząt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charakterystyczne cechy nicieni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budowę zewnętrzną nicieni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choroby wywołane przez nicienie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drogi inwazji nicieni do organizmu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na czym polega „choroba brudnych rąk”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objawy chorób wywołanych przez nicienie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znaczenie profilaktyki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możliwości zakażenia się chorobami wywoływanymi przez nicienie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przygotowuje prezentację np. PowerPoint) na temat chorób wywoływanych przez nicienie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znaczenie nicieni w przyrodzie i dla człowieka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val="pl-PL" w:bidi="ar-SA"/>
              </w:rPr>
              <w:t xml:space="preserve">6. </w:t>
            </w:r>
            <w:r>
              <w:rPr>
                <w:rFonts w:cs="Calibri" w:ascii="Calibri" w:hAnsi="Calibri"/>
                <w:b/>
                <w:bCs/>
                <w:color w:val="000000"/>
                <w:kern w:val="0"/>
                <w:sz w:val="20"/>
                <w:szCs w:val="20"/>
                <w:lang w:val="pl-PL" w:bidi="ar-SA"/>
              </w:rPr>
              <w:t>Pierścienice (skąposzczety i pijawki) – zwierzęta, które mają segmentowane ciało</w:t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pierścienice wśród innych zwierząt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środowisko życia pierścienic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cechy charakterystyczne budowy zewnętrznej pierścienic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znaczenie szczecinek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środowisko i tryb życia pijawki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żywym okazie dżdżownicy lub na ilustracji wskazuje siodełko i wyjaśnia jego rolę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przystosowania pijawki do pasożytniczego trybu życia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wskazane czynności życiowe pierścienic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zakłada hodowlę dżdżownic, wskazując, jak zwierzęta te przyczyniają się do poprawy struktury gleby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znaczenie pierścienic w przyrodzie i dla człowieka</w:t>
            </w:r>
          </w:p>
        </w:tc>
      </w:tr>
      <w:tr>
        <w:trPr/>
        <w:tc>
          <w:tcPr>
            <w:tcW w:w="1696" w:type="dxa"/>
            <w:vMerge w:val="restart"/>
            <w:tcBorders/>
            <w:textDirection w:val="btLr"/>
          </w:tcPr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numPr>
                <w:ilvl w:val="0"/>
                <w:numId w:val="2"/>
              </w:numPr>
              <w:suppressAutoHyphens w:val="true"/>
              <w:spacing w:before="0" w:after="0"/>
              <w:ind w:left="833" w:right="113" w:hanging="72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Stawonogi (skorupiaki, owady i pajęczaki)</w:t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III. Stawonogi</w:t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i mięczaki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7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 xml:space="preserve">. </w:t>
            </w:r>
            <w:r>
              <w:rPr>
                <w:rFonts w:cs="Calibri" w:ascii="Calibri" w:hAnsi="Calibr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Stawonogi            ( skorupiaki, owady, pajęczaki)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stawonogi wśród innych zwierząt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skorupiaki, owady i pajęczaki jako zwierzęta należące do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główne części ciała poszczególnych grup stawonogów</w:t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miejsca bytowania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rozróżnia wśród stawonogów skorupiaki, owady i pajęczaki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różnorodność miejsc bytowania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przedstawia kryteria podziału stawonogów na skorupiaki, owady i pajęczaki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funkcje odnóży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wskazane czynności życiowe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cechy umożliwiające rozpoznanie skorupiaków, owadów i pajęczaków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cechy adaptacyjne wskazanej grupy stawonogów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czym jest oko złożone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przedstawia różnorodność budowy ciała stawonogów oraz ich trybu życia, wykazując jednocześnie ich cechy wspólne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cechy adaptacyjne stawonogów, umożliwiające im opanowanie różnych środowisk</w:t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9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 xml:space="preserve">. 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Skorupiaki – stawonogi, które mają twardy</w:t>
            </w:r>
            <w:r>
              <w:rPr>
                <w:rFonts w:cs="Calibri" w:ascii="Calibri" w:hAnsi="Calibri" w:asciiTheme="minorHAnsi" w:cstheme="minorHAnsi" w:hAnsiTheme="minorHAnsi"/>
                <w:color w:val="000000"/>
                <w:kern w:val="0"/>
                <w:sz w:val="20"/>
                <w:szCs w:val="20"/>
                <w:lang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pancerz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główne części ciała skorupiaków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skorupiaki wśród innych stawonogów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środowiska występowania skorupiaków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budowę zewnętrzną skorupiaków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nazywa poszczególne części ciała u raka stawowego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wskazane czynności życiowe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między budową skorupiaków a środowiskiem ich życia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wynienia znaczenie skorupiaków w przyrodzie</w:t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znaczenie skorupiaków w przyrodzie i dla człowieka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10. Owady – stawonogi zdolne do lotu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elementy budowy zewnętrznej owadów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wylicza środowiska życia owadów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owady wśród innych stawonogów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charakterystyczne cechy budowy wybranych gatunków owadów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wybranych przykładach omawia znaczenie owadów dla człowieka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kilku przykładach omawia różnice w budowie owadów oraz ich przystosowania do życia w różnych środowiskach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wybranych przykładach omawia znaczenie owadów dla człowieka</w:t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budową odnóży owadów a środowiskiem ich życia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wybranych przykładach omawia znaczenie owadów w przyrodzie i dla człowieka</w:t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budowę narządów gębowych owadów i wykazuje jej związek z pobieranym pokarmem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11. Pajęczaki – stawonogi, które mają cztery pary odnóży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środowiska występowania pajęczaków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pajęczaki wśród innych stawonogów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charakterystyczne cechy budowy zewnętrznej pajęczaków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sposób odżywiania się pajęczaków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cech budowy zewnętrznej pajęczaków przyporządkowuje konkretne okazy do odpowiednich gatunków przedstawionych w podręczniku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obserwacji żywych okazów lub filmu edukacyjnego omawia czynności życiowe pajęczaków</w:t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sposoby odżywiania się pajęczaków na przykładzie wybranych przedstawicieli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odnóża pajęczaków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znaczenie pajęczaków w przyrodzie i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elementy budowy zewnętrznej pajęczaków i wykazuje ich przystosowania do środowiska życia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12. Mięczaki – zwierzęta, które mają muszlę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miejsca występowania mięczaków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na ilustracji elementy budowy ślimaka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budowę zewnętrzną mięczaków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na ilustracjach elementy budowy mięczaków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obserwacji żywych okazów lub filmu  omawia czynności życiowe mięczaków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różnice w budowie ślimaków, małży i głowonogów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znaczenie mięczaków w przyrodzie i dla człowieka</w:t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gatunki ślimaków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konstruuje tabelę, w której porównuje trzy grupy mięczaków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restart"/>
            <w:tcBorders/>
            <w:textDirection w:val="btLr"/>
          </w:tcPr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42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IV.Kręgowce zmiennocieplne</w:t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Pa20"/>
              <w:widowControl w:val="false"/>
              <w:suppressAutoHyphens w:val="true"/>
              <w:spacing w:before="0" w:after="0"/>
              <w:ind w:left="113" w:right="113" w:hanging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color w:val="000000"/>
                <w:kern w:val="0"/>
                <w:sz w:val="20"/>
                <w:szCs w:val="20"/>
                <w:lang w:bidi="ar-SA"/>
              </w:rPr>
              <w:t>IV. Kręgowce zmiennocieplne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13. Ryby – kręgowce środowisk wodnych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wodę jako środowisko życia ryb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ryby wśród innych zwierząt kręgowych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ilustracji omawia budowę zewnętrzną ryb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przyporządkowuje wskazany organizm do ryb na podstawie znajomości ich cech charakterystycznych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obserwacji żywych okazów lub filmu  omawia czynności życiowe ryb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nazywa płetwy  i wskazuje ich położenie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proces wymiany gazowej u ryb</w:t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na czym polega zmiennocieplność ryb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sposób rozmnażania ryb, wyjaśniając, czym jest tarło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przystosowania ryb w budowie zewnętrznej i czynnościach życiowych do życia w wodzie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14. Przegląd i znaczenie ryb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kilka gatunków ryb przedstawionych w podręczniku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nazywa  rybę  wskazywaną przez nauczyciela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przykłady zdobywania pokarmu przez ryby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nazwę ryby dwuśrodowiskowej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kilkoma przykładami ilustruje strategie zdobywania pokarmu przez ryby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kilka nazw gatunkowych ryb żyjących w Bałtyku</w:t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znaczenie ryb w przyrodzie i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zagrożenia i konieczność ochrony ryb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budową ryb a miejscem ich bytowania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15. Płazy – bezoogonowe i ogoniaste. kręgowce środowisk wodno</w:t>
              <w:softHyphen/>
              <w:t>-lądowych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środowisko życia płazów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części ciała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ilustracji omawia budowę zewnętrzną płaza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stadia rozwojowe żaby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przystosowania płazów do życia w wodzie i na lądzie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wybrane czynności życiowe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cykl rozwojowy żaby i wykazuje jego związek z życiem w wodzie i na lądzie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przedstawicieli płazów wśród innych zwierząt, wskazując na ich charakterystyczne cechy</w:t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w jaki sposób przebiega wymiana gazowa u płazów, wykazując związek z ich życiem w dwóch środowiskach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trybem życia płazów a ich zmiennocieplnością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16. Przegląd i znaczenie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 na ilustracji płazy ogoniaste, beznogie i bezogonowe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przykłady płazów żyjących w Polsce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główne zagrożenia dla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przykłady  płazów  ogoniastych , bezogonowych  i beznogich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główne zagrożenia dla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płazy ogoniaste, bezogonowe i beznogie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sposoby ochrony płazów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znaczenie płazów w przyrodzie i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wykonuje portfolio lub prezentację multimedialną na temat płazów żyjących w Polsce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17. Gady – kręgowce, które opanowały ląd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środowiska życia gadów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budowę zewnętrzną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związek istniejący między występowaniem gadów a ich zmiennocieplnością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gady wśród innych zwierząt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przystosowania gadów do życia na lądzie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tryb życia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rozmnażanie i rozwój gadów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przebieg wymiany gazowej u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pokrycie ciała gadów w kontekście ochrony przed utratą wody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między sposobem rozmnażania gadów a środowiskiem ich życia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18. Przegląd i znaczenie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na ilustracji jaszczurki, krokodyle, węże i żółwie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określa środowiska życia gadów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podaje przyczyny zmniejszania się populacji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sposoby zdobywania pokarmu przez gady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sposoby ochrony gadów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gady występujące w Polsce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przyczyny wymierania gadów i podaje sposoby zapobiegania zmniejszaniu się ich populacji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znaczenie gadów w przyrodzie i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prezentację (np. PowerPoint) na temat gadów żyjących w Polsce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restart"/>
            <w:tcBorders/>
            <w:textDirection w:val="btLr"/>
          </w:tcPr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before="0" w:after="0"/>
              <w:ind w:left="833" w:right="113" w:hanging="72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  <w:t>Kręgowce  stałocieplne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left"/>
              <w:rPr>
                <w:rFonts w:cs="Calibri" w:cs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113" w:right="113" w:hanging="0"/>
              <w:contextualSpacing/>
              <w:jc w:val="center"/>
              <w:rPr>
                <w:rFonts w:cs="Calibri" w:cs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/>
                <w:b/>
                <w:kern w:val="0"/>
                <w:sz w:val="20"/>
                <w:szCs w:val="20"/>
                <w:lang w:bidi="ar-SA"/>
              </w:rPr>
              <w:t>V. Kręgowce stałocieplne</w:t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19. Ptaki – kręgowce zdolne do lotu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różnorodne siedliska występowania ptaków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żywym okazie lub na ilustracji wskazuje cechy budowy ptaków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ptaki wśród innych zwierząt, wskazując ich charakterystyczne cechy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rodzaje piór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elementy budowy jaja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ptaki jako zwierzęta stałocieplne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przystosowania ptaków do lotu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budowę piór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proces rozmnażania i rozwój ptaków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rolę piór w utrzymaniu stałocieplności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budowę piór ptaków w związku z pełnioną przez nie funkcją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wymianą gazową a umiejętnością latania ptaków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proces rozmnażania i rozwoju ptaków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przebiegiem wymiany gazowej a przystosowaniem ptaków do lotu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na ilustracji lub podczas obserwacji w terenie rozpoznaje gatunki ptaków zamieszkujących najbliższą okolicę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20. Przegląd</w:t>
            </w:r>
          </w:p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i znaczenie ptaków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 przykłady ptaków żyjących w różnych środowiskach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ocenia  pozytywne znaczenie ptaków w przyrodzie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znaczenie ptaków w przyrodzie i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zagrożenia dla ptaków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istniejący między wielkością i kształtem dziobów ptaków a rodzajem spożywanego przez nie pokarmu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sposoby ochrony ptaków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związek między stałocieplnością ptaków a środowiskiem i trybem ich życia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korzysta z aplikacji  do oznaczania popularnych gatunków ptaków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21. Ssaki łożyskowe kręgowce, które karmią młode mlekiem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wskazuje środowiska występowania ssaków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podstawie ilustracji omawia budowę zewnętrzną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firstLine="708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zróżnicowanie siedlisk zajmowanych przez ssaki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określa ssaki jako zwierzęta stałocieplne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wytwory skóry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 ilustracji lub na żywym obiekcie wskazuje cechy charakterystyczne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i wspólne dla ssaków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wyjaśnia, że budowa skóry ssaków ma związek z utrzymywaniem przez nie stałocieplności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proces rozmnażania i rozwój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opisuje przystosowania ssaków do różnych środowisk życia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charakteryzuje opiekę nad potomstwem u ssaków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identyfikuje wytwory skóry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związek zachodzący między wymianą gazową ssaków a zróżnicowanymi środowiskami ich występowania i ich życiową aktywnością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funkcje skóry w aspekcie różnorodności siedlisk zajmowanych przez ssaki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</w:tr>
      <w:tr>
        <w:trPr/>
        <w:tc>
          <w:tcPr>
            <w:tcW w:w="169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1843" w:type="dxa"/>
            <w:tcBorders/>
          </w:tcPr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22. Przegląd</w:t>
            </w:r>
          </w:p>
          <w:p>
            <w:pPr>
              <w:pStyle w:val="Pa21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000000"/>
                <w:kern w:val="0"/>
                <w:sz w:val="20"/>
                <w:szCs w:val="20"/>
                <w:lang w:bidi="ar-SA"/>
              </w:rPr>
              <w:t>i znaczenie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1984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przystosowania ssaków do zróżnicowanych środowisk ich bytowania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7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zależność między budową morfologiczną ssaków a zajmowanym przez nie siedliskiem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nazywa wskazane zęby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126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rozpoznaje zęby ssaków i wyjaśnia ich funkcje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wyjaśnia znaczenie ssaków dla przyrody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  <w:tc>
          <w:tcPr>
            <w:tcW w:w="2092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omawia znaczenie ssaków dla człowieka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wymienia zagrożenia dla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</w:tc>
        <w:tc>
          <w:tcPr>
            <w:tcW w:w="2125" w:type="dxa"/>
            <w:tcBorders/>
          </w:tcPr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analizuje zagrożenia ssaków i wskazuje sposoby ich ochrony</w:t>
            </w:r>
          </w:p>
          <w:p>
            <w:pPr>
              <w:pStyle w:val="Default"/>
              <w:widowControl w:val="false"/>
              <w:suppressAutoHyphens w:val="true"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eastAsia="Wingdings 2" w:cs="Wingdings 2" w:ascii="Wingdings 2" w:hAnsi="Wingdings 2"/>
                <w:kern w:val="0"/>
                <w:sz w:val="20"/>
                <w:szCs w:val="20"/>
                <w:lang w:val="pl-PL" w:bidi="ar-SA"/>
              </w:rPr>
              <w:t></w:t>
            </w:r>
            <w:r>
              <w:rPr>
                <w:rFonts w:cs="Calibri" w:ascii="Calibri" w:hAnsi="Calibri" w:asciiTheme="minorHAnsi" w:cstheme="minorHAnsi" w:hAnsiTheme="minorHAnsi"/>
                <w:kern w:val="0"/>
                <w:sz w:val="20"/>
                <w:szCs w:val="20"/>
                <w:lang w:val="pl-PL" w:bidi="ar-SA"/>
              </w:rPr>
              <w:t>wykazuje przynależność człowieka do ssaków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</w:tc>
      </w:tr>
    </w:tbl>
    <w:p>
      <w:pPr>
        <w:pStyle w:val="Normal"/>
        <w:spacing w:before="0" w:after="0"/>
        <w:contextualSpacing/>
        <w:rPr>
          <w:sz w:val="20"/>
        </w:rPr>
      </w:pPr>
      <w:r>
        <w:rPr>
          <w:sz w:val="20"/>
        </w:rPr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orient="landscape" w:w="16838" w:h="11906"/>
      <w:pgMar w:left="1418" w:right="1418" w:header="0" w:top="1418" w:footer="709" w:bottom="1134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  <w:font w:name="Roboto">
    <w:charset w:val="01"/>
    <w:family w:val="roman"/>
    <w:pitch w:val="default"/>
  </w:font>
  <w:font w:name="Humanst521EU">
    <w:charset w:val="01"/>
    <w:family w:val="roman"/>
    <w:pitch w:val="default"/>
  </w:font>
  <w:font w:name="Wingdings 2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Stopka1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9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1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3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5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7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9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1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33" w:hanging="180"/>
      </w:pPr>
    </w:lvl>
  </w:abstractNum>
  <w:abstractNum w:abstractNumId="2">
    <w:lvl w:ilvl="0">
      <w:start w:val="3"/>
      <w:numFmt w:val="upperRoman"/>
      <w:lvlText w:val="%1."/>
      <w:lvlJc w:val="left"/>
      <w:pPr>
        <w:tabs>
          <w:tab w:val="num" w:pos="0"/>
        </w:tabs>
        <w:ind w:left="833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9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1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3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5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7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9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1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33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284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5451e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link w:val="Nagwek"/>
    <w:uiPriority w:val="99"/>
    <w:qFormat/>
    <w:rsid w:val="00be283b"/>
    <w:rPr>
      <w:rFonts w:ascii="Times New Roman" w:hAnsi="Times New Roman" w:eastAsia="Times New Roman"/>
      <w:sz w:val="24"/>
    </w:rPr>
  </w:style>
  <w:style w:type="character" w:styleId="Zakotwiczenieprzypisudolnego">
    <w:name w:val="Zakotwiczenie przypisu dolnego"/>
    <w:rPr>
      <w:b/>
      <w:sz w:val="18"/>
      <w:vertAlign w:val="superscript"/>
    </w:rPr>
  </w:style>
  <w:style w:type="character" w:styleId="FootnoteCharacters">
    <w:name w:val="Footnote Characters"/>
    <w:semiHidden/>
    <w:qFormat/>
    <w:rsid w:val="00be283b"/>
    <w:rPr>
      <w:b/>
      <w:sz w:val="18"/>
      <w:vertAlign w:val="superscript"/>
    </w:rPr>
  </w:style>
  <w:style w:type="character" w:styleId="TekstprzypisudolnegoZnak" w:customStyle="1">
    <w:name w:val="Tekst przypisu dolnego Znak"/>
    <w:link w:val="Tekstprzypisudolnego"/>
    <w:semiHidden/>
    <w:qFormat/>
    <w:rsid w:val="00be283b"/>
    <w:rPr>
      <w:rFonts w:ascii="Times New Roman" w:hAnsi="Times New Roman" w:eastAsia="Times New Roman"/>
    </w:rPr>
  </w:style>
  <w:style w:type="character" w:styleId="StopkaZnak" w:customStyle="1">
    <w:name w:val="Stopka Znak"/>
    <w:link w:val="Stopka"/>
    <w:uiPriority w:val="99"/>
    <w:qFormat/>
    <w:rsid w:val="000e7d0e"/>
    <w:rPr>
      <w:rFonts w:ascii="Times New Roman" w:hAnsi="Times New Roman" w:eastAsia="Times New Roman"/>
      <w:sz w:val="24"/>
      <w:szCs w:val="24"/>
      <w:lang w:val="en-US" w:eastAsia="en-US"/>
    </w:rPr>
  </w:style>
  <w:style w:type="character" w:styleId="Znakinumeracji" w:customStyle="1">
    <w:name w:val="Znaki numeracji"/>
    <w:qFormat/>
    <w:rsid w:val="00c2032c"/>
    <w:rPr/>
  </w:style>
  <w:style w:type="character" w:styleId="Znakiwypunktowania" w:customStyle="1">
    <w:name w:val="Znaki wypunktowania"/>
    <w:qFormat/>
    <w:rsid w:val="00c2032c"/>
    <w:rPr>
      <w:rFonts w:ascii="OpenSymbol" w:hAnsi="OpenSymbol" w:eastAsia="OpenSymbol" w:cs="OpenSymbol"/>
    </w:rPr>
  </w:style>
  <w:style w:type="character" w:styleId="TekstkomentarzaZnak" w:customStyle="1">
    <w:name w:val="Tekst komentarza Znak"/>
    <w:link w:val="Tekstkomentarza"/>
    <w:uiPriority w:val="99"/>
    <w:semiHidden/>
    <w:qFormat/>
    <w:rsid w:val="00c2032c"/>
    <w:rPr>
      <w:rFonts w:ascii="Times New Roman" w:hAnsi="Times New Roman" w:eastAsia="Andale Sans UI" w:cs="Tahoma"/>
      <w:kern w:val="2"/>
      <w:lang w:val="de-DE" w:eastAsia="ja-JP" w:bidi="fa-IR"/>
    </w:rPr>
  </w:style>
  <w:style w:type="character" w:styleId="TematkomentarzaZnak" w:customStyle="1">
    <w:name w:val="Temat komentarza Znak"/>
    <w:link w:val="Tematkomentarza"/>
    <w:uiPriority w:val="99"/>
    <w:semiHidden/>
    <w:qFormat/>
    <w:rsid w:val="00c2032c"/>
    <w:rPr>
      <w:rFonts w:ascii="Times New Roman" w:hAnsi="Times New Roman" w:eastAsia="Andale Sans UI" w:cs="Tahoma"/>
      <w:b/>
      <w:bCs/>
      <w:kern w:val="2"/>
      <w:lang w:val="de-DE" w:eastAsia="ja-JP" w:bidi="fa-IR"/>
    </w:rPr>
  </w:style>
  <w:style w:type="character" w:styleId="TekstdymkaZnak" w:customStyle="1">
    <w:name w:val="Tekst dymka Znak"/>
    <w:link w:val="Tekstdymka"/>
    <w:uiPriority w:val="99"/>
    <w:semiHidden/>
    <w:qFormat/>
    <w:rsid w:val="00c2032c"/>
    <w:rPr>
      <w:rFonts w:ascii="Tahoma" w:hAnsi="Tahoma" w:eastAsia="Andale Sans UI" w:cs="Tahoma"/>
      <w:kern w:val="2"/>
      <w:sz w:val="16"/>
      <w:szCs w:val="16"/>
      <w:lang w:val="de-DE" w:eastAsia="ja-JP" w:bidi="fa-IR"/>
    </w:rPr>
  </w:style>
  <w:style w:type="character" w:styleId="PlandokumentuZnak" w:customStyle="1">
    <w:name w:val="Plan dokumentu Znak"/>
    <w:link w:val="Plandokumentu1"/>
    <w:uiPriority w:val="99"/>
    <w:semiHidden/>
    <w:qFormat/>
    <w:rsid w:val="00c2032c"/>
    <w:rPr>
      <w:rFonts w:ascii="Tahoma" w:hAnsi="Tahoma" w:eastAsia="Andale Sans UI" w:cs="Tahoma"/>
      <w:kern w:val="2"/>
      <w:sz w:val="16"/>
      <w:szCs w:val="16"/>
      <w:lang w:val="de-DE" w:eastAsia="ja-JP" w:bidi="fa-IR"/>
    </w:rPr>
  </w:style>
  <w:style w:type="character" w:styleId="Annotationreference">
    <w:name w:val="annotation reference"/>
    <w:uiPriority w:val="99"/>
    <w:semiHidden/>
    <w:unhideWhenUsed/>
    <w:qFormat/>
    <w:rsid w:val="00524057"/>
    <w:rPr>
      <w:sz w:val="16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rsid w:val="00c2032c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ks" w:customStyle="1">
    <w:name w:val="Indeks"/>
    <w:basedOn w:val="Standard"/>
    <w:qFormat/>
    <w:rsid w:val="00c2032c"/>
    <w:pPr>
      <w:suppressLineNumbers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rsid w:val="00be283b"/>
    <w:pPr>
      <w:widowControl w:val="false"/>
      <w:tabs>
        <w:tab w:val="clear" w:pos="284"/>
        <w:tab w:val="center" w:pos="4252" w:leader="none"/>
        <w:tab w:val="right" w:pos="8504" w:leader="none"/>
      </w:tabs>
      <w:spacing w:before="0" w:after="120"/>
      <w:jc w:val="both"/>
    </w:pPr>
    <w:rPr>
      <w:szCs w:val="20"/>
      <w:lang w:val="pl-PL" w:eastAsia="pl-PL"/>
    </w:rPr>
  </w:style>
  <w:style w:type="paragraph" w:styleId="Przypisdolny">
    <w:name w:val="Footnote Text"/>
    <w:basedOn w:val="Normal"/>
    <w:link w:val="TekstprzypisudolnegoZnak"/>
    <w:semiHidden/>
    <w:rsid w:val="00be283b"/>
    <w:pPr>
      <w:widowControl w:val="false"/>
      <w:suppressAutoHyphens w:val="true"/>
      <w:ind w:left="227" w:hanging="227"/>
    </w:pPr>
    <w:rPr>
      <w:sz w:val="20"/>
      <w:szCs w:val="20"/>
      <w:lang w:val="pl-PL" w:eastAsia="pl-PL"/>
    </w:rPr>
  </w:style>
  <w:style w:type="paragraph" w:styleId="Standard" w:customStyle="1">
    <w:name w:val="Standard"/>
    <w:qFormat/>
    <w:rsid w:val="00c503c3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Andale Sans UI" w:cs="Tahoma"/>
      <w:color w:val="auto"/>
      <w:kern w:val="2"/>
      <w:sz w:val="24"/>
      <w:szCs w:val="24"/>
      <w:lang w:val="de-DE" w:eastAsia="ja-JP" w:bidi="fa-IR"/>
    </w:rPr>
  </w:style>
  <w:style w:type="paragraph" w:styleId="Stopka">
    <w:name w:val="Footer"/>
    <w:basedOn w:val="Normal"/>
    <w:link w:val="StopkaZnak"/>
    <w:uiPriority w:val="99"/>
    <w:unhideWhenUsed/>
    <w:rsid w:val="000e7d0e"/>
    <w:pPr>
      <w:tabs>
        <w:tab w:val="clear" w:pos="284"/>
        <w:tab w:val="center" w:pos="4536" w:leader="none"/>
        <w:tab w:val="right" w:pos="9072" w:leader="none"/>
      </w:tabs>
    </w:pPr>
    <w:rPr/>
  </w:style>
  <w:style w:type="paragraph" w:styleId="Nagwek1" w:customStyle="1">
    <w:name w:val="Nagłówek1"/>
    <w:basedOn w:val="Standard"/>
    <w:next w:val="Textbody"/>
    <w:qFormat/>
    <w:rsid w:val="00c2032c"/>
    <w:pPr>
      <w:keepNext w:val="true"/>
      <w:spacing w:before="240" w:after="120"/>
    </w:pPr>
    <w:rPr>
      <w:rFonts w:ascii="Arial" w:hAnsi="Arial"/>
      <w:sz w:val="28"/>
      <w:szCs w:val="28"/>
    </w:rPr>
  </w:style>
  <w:style w:type="paragraph" w:styleId="Textbody" w:customStyle="1">
    <w:name w:val="Text body"/>
    <w:basedOn w:val="Standard"/>
    <w:qFormat/>
    <w:rsid w:val="00c2032c"/>
    <w:pPr>
      <w:spacing w:before="0" w:after="120"/>
    </w:pPr>
    <w:rPr/>
  </w:style>
  <w:style w:type="paragraph" w:styleId="Legenda1" w:customStyle="1">
    <w:name w:val="Legenda1"/>
    <w:basedOn w:val="Standard"/>
    <w:qFormat/>
    <w:rsid w:val="00c2032c"/>
    <w:pPr>
      <w:suppressLineNumbers/>
      <w:spacing w:before="120" w:after="120"/>
    </w:pPr>
    <w:rPr>
      <w:i/>
      <w:iCs/>
    </w:rPr>
  </w:style>
  <w:style w:type="paragraph" w:styleId="Zawartotabeli" w:customStyle="1">
    <w:name w:val="Zawartość tabeli"/>
    <w:basedOn w:val="Standard"/>
    <w:qFormat/>
    <w:rsid w:val="00c2032c"/>
    <w:pPr>
      <w:suppressLineNumbers/>
    </w:pPr>
    <w:rPr/>
  </w:style>
  <w:style w:type="paragraph" w:styleId="Nagwektabeli" w:customStyle="1">
    <w:name w:val="Nagłówek tabeli"/>
    <w:basedOn w:val="Zawartotabeli"/>
    <w:qFormat/>
    <w:rsid w:val="00c2032c"/>
    <w:pPr>
      <w:jc w:val="center"/>
    </w:pPr>
    <w:rPr>
      <w:b/>
      <w:bCs/>
    </w:rPr>
  </w:style>
  <w:style w:type="paragraph" w:styleId="Stopka1" w:customStyle="1">
    <w:name w:val="Stopka1"/>
    <w:basedOn w:val="Standard"/>
    <w:qFormat/>
    <w:rsid w:val="00c2032c"/>
    <w:pPr>
      <w:suppressLineNumbers/>
      <w:tabs>
        <w:tab w:val="clear" w:pos="284"/>
        <w:tab w:val="center" w:pos="7285" w:leader="none"/>
        <w:tab w:val="right" w:pos="14570" w:leader="none"/>
      </w:tabs>
    </w:pPr>
    <w:rPr/>
  </w:style>
  <w:style w:type="paragraph" w:styleId="ListParagraph">
    <w:name w:val="List Paragraph"/>
    <w:basedOn w:val="Normal"/>
    <w:uiPriority w:val="34"/>
    <w:qFormat/>
    <w:rsid w:val="00c2032c"/>
    <w:pPr>
      <w:widowControl w:val="false"/>
      <w:suppressAutoHyphens w:val="true"/>
      <w:ind w:left="720" w:hanging="0"/>
      <w:textAlignment w:val="baseline"/>
    </w:pPr>
    <w:rPr>
      <w:rFonts w:eastAsia="Andale Sans UI" w:cs="Tahoma"/>
      <w:kern w:val="2"/>
      <w:lang w:val="de-DE" w:eastAsia="ja-JP" w:bidi="fa-IR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c2032c"/>
    <w:pPr>
      <w:widowControl w:val="false"/>
      <w:suppressAutoHyphens w:val="true"/>
      <w:textAlignment w:val="baseline"/>
    </w:pPr>
    <w:rPr>
      <w:rFonts w:eastAsia="Andale Sans UI" w:cs="Tahoma"/>
      <w:kern w:val="2"/>
      <w:sz w:val="20"/>
      <w:szCs w:val="20"/>
      <w:lang w:val="de-DE" w:eastAsia="ja-JP" w:bidi="fa-IR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c2032c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c2032c"/>
    <w:pPr>
      <w:widowControl w:val="false"/>
      <w:suppressAutoHyphens w:val="true"/>
      <w:textAlignment w:val="baseline"/>
    </w:pPr>
    <w:rPr>
      <w:rFonts w:ascii="Tahoma" w:hAnsi="Tahoma" w:eastAsia="Andale Sans UI" w:cs="Tahoma"/>
      <w:kern w:val="2"/>
      <w:sz w:val="16"/>
      <w:szCs w:val="16"/>
      <w:lang w:val="de-DE" w:eastAsia="ja-JP" w:bidi="fa-IR"/>
    </w:rPr>
  </w:style>
  <w:style w:type="paragraph" w:styleId="Plandokumentu1" w:customStyle="1">
    <w:name w:val="Plan dokumentu1"/>
    <w:basedOn w:val="Normal"/>
    <w:link w:val="PlandokumentuZnak"/>
    <w:uiPriority w:val="99"/>
    <w:semiHidden/>
    <w:unhideWhenUsed/>
    <w:qFormat/>
    <w:rsid w:val="00c2032c"/>
    <w:pPr>
      <w:widowControl w:val="false"/>
      <w:suppressAutoHyphens w:val="true"/>
      <w:textAlignment w:val="baseline"/>
    </w:pPr>
    <w:rPr>
      <w:rFonts w:ascii="Tahoma" w:hAnsi="Tahoma" w:eastAsia="Andale Sans UI" w:cs="Tahoma"/>
      <w:kern w:val="2"/>
      <w:sz w:val="16"/>
      <w:szCs w:val="16"/>
      <w:lang w:val="de-DE" w:eastAsia="ja-JP" w:bidi="fa-IR"/>
    </w:rPr>
  </w:style>
  <w:style w:type="paragraph" w:styleId="StopkaCopyright" w:customStyle="1">
    <w:name w:val="Stopka Copyright"/>
    <w:basedOn w:val="Normal"/>
    <w:qFormat/>
    <w:rsid w:val="00245292"/>
    <w:pPr>
      <w:jc w:val="both"/>
    </w:pPr>
    <w:rPr>
      <w:rFonts w:ascii="Roboto" w:hAnsi="Roboto" w:eastAsia="Calibri"/>
      <w:iCs/>
      <w:color w:val="000000"/>
      <w:sz w:val="16"/>
      <w:szCs w:val="18"/>
      <w:lang w:val="pl-PL"/>
    </w:rPr>
  </w:style>
  <w:style w:type="paragraph" w:styleId="Revision">
    <w:name w:val="Revision"/>
    <w:uiPriority w:val="99"/>
    <w:semiHidden/>
    <w:qFormat/>
    <w:rsid w:val="00461eb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paragraph" w:styleId="Pa20" w:customStyle="1">
    <w:name w:val="Pa20"/>
    <w:basedOn w:val="Normal"/>
    <w:next w:val="Normal"/>
    <w:uiPriority w:val="99"/>
    <w:qFormat/>
    <w:rsid w:val="003b1545"/>
    <w:pPr>
      <w:spacing w:lineRule="atLeast" w:line="171"/>
    </w:pPr>
    <w:rPr>
      <w:rFonts w:ascii="Humanst521EU" w:hAnsi="Humanst521EU" w:eastAsia="Calibri" w:cs="" w:cstheme="minorBidi" w:eastAsiaTheme="minorHAnsi"/>
      <w:lang w:val="pl-PL"/>
    </w:rPr>
  </w:style>
  <w:style w:type="paragraph" w:styleId="Pa21" w:customStyle="1">
    <w:name w:val="Pa21"/>
    <w:basedOn w:val="Normal"/>
    <w:next w:val="Normal"/>
    <w:uiPriority w:val="99"/>
    <w:qFormat/>
    <w:rsid w:val="003b1545"/>
    <w:pPr>
      <w:spacing w:lineRule="atLeast" w:line="171"/>
    </w:pPr>
    <w:rPr>
      <w:rFonts w:ascii="Humanst521EU" w:hAnsi="Humanst521EU" w:eastAsia="Calibri" w:cs="" w:cstheme="minorBidi" w:eastAsiaTheme="minorHAnsi"/>
      <w:lang w:val="pl-PL"/>
    </w:rPr>
  </w:style>
  <w:style w:type="paragraph" w:styleId="Default" w:customStyle="1">
    <w:name w:val="Default"/>
    <w:qFormat/>
    <w:rsid w:val="003b1545"/>
    <w:pPr>
      <w:widowControl/>
      <w:suppressAutoHyphens w:val="true"/>
      <w:bidi w:val="0"/>
      <w:spacing w:before="0" w:after="0"/>
      <w:jc w:val="left"/>
    </w:pPr>
    <w:rPr>
      <w:rFonts w:ascii="Humanst521EU" w:hAnsi="Humanst521EU" w:eastAsia="Calibri" w:cs="Humanst521EU" w:eastAsiaTheme="minorHAnsi"/>
      <w:color w:val="000000"/>
      <w:kern w:val="0"/>
      <w:sz w:val="24"/>
      <w:szCs w:val="24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fc3c40"/>
    <w:rPr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A80115-4EC4-4202-88C4-6E6420A07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LibreOffice/7.0.0.3$Windows_X86_64 LibreOffice_project/8061b3e9204bef6b321a21033174034a5e2ea88e</Application>
  <Pages>7</Pages>
  <Words>2106</Words>
  <Characters>13383</Characters>
  <CharactersWithSpaces>15022</CharactersWithSpaces>
  <Paragraphs>278</Paragraphs>
  <Company>Nowa Era Sp. z o.o.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2024-08-07T21:16:00Z</dcterms:created>
  <dc:creator>a.detka</dc:creator>
  <dc:description/>
  <dc:language>pl-PL</dc:language>
  <cp:lastModifiedBy/>
  <cp:lastPrinted>2024-08-28T14:40:42Z</cp:lastPrinted>
  <dcterms:modified xsi:type="dcterms:W3CDTF">2024-08-28T14:42:29Z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Nowa Era Sp. z o.o.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